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AHStatDV 2022 — Art des Geschäfts</w:t>
      </w:r>
    </w:p>
    <w:p>
      <w:r>
        <w:rPr>
          <w:color w:val="555555"/>
          <w:sz w:val="18"/>
        </w:rPr>
        <w:t xml:space="preserve">Außenhandelsstatistik-Durchführungsverordnung</w:t>
      </w:r>
    </w:p>
    <w:p>
      <w:r>
        <w:rPr>
          <w:color w:val="555555"/>
          <w:sz w:val="18"/>
        </w:rPr>
        <w:t xml:space="preserve">Stand: 01.01.2022 (konsolidierte Textfassung, kein amtliches Inkrafttretensdatum)</w:t>
      </w:r>
    </w:p>
    <w:p>
      <w:r>
        <w:t xml:space="preserve">Die Art des Geschäfts ist mit der Schlüsselnummer nach Anhang 1, Teil C, Tabelle 1 der Durchführungsverordnung (EU) 2020/1197 sowie zusätzlich mit den Nummern in Anlage 2 anzugeben. Dabei ist unter anderem zu berücksichtigen, ob es sich um Kauf, Verkauf, Kommission, Konsignation, aktive oder passive Veredelung oder um eine andere Art des Geschäfts handelt und ob die Waren gegen Entgelt oder ohne Entgelt geliefert werden.</w:t>
      </w:r>
    </w:p>
    <w:p>
      <w:r>
        <w:rPr>
          <w:color w:val="555555"/>
          <w:sz w:val="17"/>
        </w:rPr>
        <w:t xml:space="preserve">Zitiervorschlag: § 18 AHStatDV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https://recht.nulegal.eu/gesetze/AHStatDV%202022/18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