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AHStatDV 2022 — Bestimmungsland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„Bestimmungsland“ ist das Land, in dem die Ware ge- oder verbraucht oder be- oder verarbeitet werden soll. Ist das Bestimmungsland unbekannt, so ist das letzte bekannte Land einzutragen, in das die Ware zum Zeitpunkt des Exports versendet oder ausgeführt werden soll.</w:t>
      </w:r>
    </w:p>
    <w:p>
      <w:r>
        <w:t xml:space="preserve">(2) Das Bestimmungsland ist mit den Bezeichnungen und Schlüsselnummern des Länderverzeichnisses für die Außenhandelsstatistik zu benennen, die in der Durchführungsverordnung (EU) 2020/1470 genannt sind.</w:t>
      </w:r>
    </w:p>
    <w:p>
      <w:r>
        <w:rPr>
          <w:color w:val="555555"/>
          <w:sz w:val="17"/>
        </w:rPr>
        <w:t xml:space="preserve">Zitiervorschlag: § 16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