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AHStatDV 2022 — Statistischer Wert</w:t>
      </w:r>
    </w:p>
    <w:p>
      <w:r>
        <w:rPr>
          <w:color w:val="555555"/>
          <w:sz w:val="18"/>
        </w:rPr>
        <w:t xml:space="preserve">Außenhandelsstatistik-Durchführungsverordnung</w:t>
      </w:r>
    </w:p>
    <w:p>
      <w:r>
        <w:rPr>
          <w:color w:val="555555"/>
          <w:sz w:val="18"/>
        </w:rPr>
        <w:t xml:space="preserve">Stand: 13.04.2025 (konsolidierte Textfassung, kein amtliches Inkrafttretensdatum)</w:t>
      </w:r>
    </w:p>
    <w:p>
      <w:r>
        <w:t xml:space="preserve">(1) „Statistischer Wert“ ist der Wert der Ware zum Zeitpunkt des Grenzübertritts. Bei Kaufgeschäften ist er auf Grundlage des Rechnungsbetrages zu ermitteln. Bei Geschäften ohne Rechnungsbetrag für die Warensendung ist der Statistische Wert auf Grundlage eines Wertes zu ermitteln, der den Rechnungsbetrag ersetzt. Dabei kann der Preis zugrunde gelegt werden, der bei einem Kauf oder Verkauf einer gleichartigen Ware erzielt werden würde. Bei der Bildung des Statistischen Wertes sind beim Import einer Ware die Bewertungsgrundsätze des Zollwertrechts nach der Verordnung (EU) Nr. 952/2013 entsprechend anzuwenden. Diese Bewertungsgrundsätze finden auch beim Export einer Ware entsprechende Anwendung. Der Statistische Wert ist in vollen Euro anzugeben. Wird der Statistische Wert auf Grundlage von Rechnungen in anderen Währungen als dem Euro gebildet, so ist der Umrechnungskurs nach § 11 Absatz 2 zu wählen. Sind für eine importierte oder exportierte Ware Teilzahlungen vereinbart, ist der Statistische Wert auf Grundlage der Summe aller Teilzahlungen zu ermitteln und anzugeben.</w:t>
      </w:r>
    </w:p>
    <w:p>
      <w:r>
        <w:t xml:space="preserve">(2) In den Statistischen Wert sind für folgende Waren auch alle Beförderungskosten, beispielsweise Transport- und Versicherungskosten, einzubeziehen:</w:t>
      </w:r>
    </w:p>
    <w:p>
      <w:pPr>
        <w:ind w:left="420"/>
      </w:pPr>
      <w:r>
        <w:t xml:space="preserve">1. für Waren im Landverkehr (auch bei Beförderung in Rohrleitungen), Luftverkehr und Binnenschiffsverkehr frei Grenze des Erhebungsgebietes,</w:t>
      </w:r>
    </w:p>
    <w:p>
      <w:pPr>
        <w:ind w:left="420"/>
      </w:pPr>
      <w:r>
        <w:t xml:space="preserve">2. für Waren im Seeverkehr bis zur Grenze des Erhebungsgebietes,</w:t>
      </w:r>
    </w:p>
    <w:p>
      <w:pPr>
        <w:ind w:left="420"/>
      </w:pPr>
      <w:r>
        <w:t xml:space="preserve">3. für Waren im Postverkehr bei Import frei Bestimmungspoststelle, bei Export frei Einlieferungspoststelle,</w:t>
      </w:r>
    </w:p>
    <w:p>
      <w:pPr>
        <w:ind w:left="420"/>
      </w:pPr>
      <w:r>
        <w:t xml:space="preserve">4. für Waren bei Lieferung als Schiffs- und Luftfahrzeugbedarf frei an Bord des Fahrzeugs.</w:t>
      </w:r>
    </w:p>
    <w:p>
      <w:r>
        <w:t xml:space="preserve">(3) Beim Import gehören zum Statistischen Wert auch die Kosten, die für die Lagerung und für die Erhaltung der Waren außerhalb des Erhebungsgebietes entstanden sind, und zwar auch dann, wenn der Importeur diese Kosten zu tragen hat. In den Statistischen Wert sind die Zahlungen miteinzubeziehen, die im Zusammenhang mit dem Warenverkehr anfallen, wie zum Beispiel Kosten für Verpackungen und Umschließungen und Kosten für Verkaufslizenzen, sowie außerhalb des Erhebungsgebietes anfallende Kosten für Zertifizierungen und Analysen. Bei nicht auf den Importeur ausgestellten Rechnungen ist der Statistische Wert der auf der Basis des Absatzes 1 umgerechnete Rechnungspreis. Dies gilt unabhängig davon, ob die in Satz 2 genannten Kosten tatsächlich entstehen und wer sie trägt. Gewährte Skonti und Rabatte sowie Zölle, die vor dem Grenzübertritt in das Erhebungsgebiet erhoben wurden, sind in den Statistischen Wert einzubeziehen, nicht jedoch die Umsatzsteuer und Verbrauchssteuern, die im Erhebungsgebiet anfallen. Gemeinsame Kosten unterschiedlicher Warenpositionen einer Sendung sind auf die einzelnen Warenpositionen aufzuteilen.</w:t>
      </w:r>
    </w:p>
    <w:p>
      <w:r>
        <w:t xml:space="preserve">(4) Beim Export ist der maßgebliche Rechnungspreis für die Ermittlung des Statistischen Wertes der Rechnungspreis einer Warentransaktion zwischen einem gebietsansässigen Vertragspartner und einem nicht gebietsansässigen Vertragspartner. Dies gilt unabhängig davon, ob es sich bei dem gebietsansässigen Vertragspartner um den zollrechtlichen Ausführer nach Artikel 1 Nummer 19 der Delegierten Verordnung (EU) 2015/2446 der Kommission vom 28. Juli 2015 zur Ergänzung der Verordnung (EU) Nr. 952/2013 des Europäischen Parlaments und des Rates mit Einzelheiten zur Präzisierung von Bestimmungen des Zollkodex der Union (ABl. L 343 vom 29.12.2015, S. 1), die zuletzt durch die Delegierte Verordnung (EU) 2021/234 (ABl. L 63 vom 23.2.2021, S. 1) geändert worden ist, in der jeweils geltenden Fassung handelt.</w:t>
      </w:r>
    </w:p>
    <w:p>
      <w:r>
        <w:t xml:space="preserve">(5) Unter Berücksichtigung der Absätze 1 bis 4 umfasst der Statistische Wert in besonderen Fällen:</w:t>
      </w:r>
    </w:p>
    <w:p>
      <w:pPr>
        <w:ind w:left="420"/>
      </w:pPr>
      <w:r>
        <w:t xml:space="preserve">1. beim Import von bestimmten verderblichen Waren, die üblicherweise im Rahmen von Kommissionsgeschäften eingeführt werden und zum zollrechtlich freien Verkehr überlassen werden, den Warenwert, der sich bei Zugrundelegen des Durchschnittswerts je Einheit ergibt;</w:t>
      </w:r>
    </w:p>
    <w:p>
      <w:pPr>
        <w:ind w:left="420"/>
      </w:pPr>
      <w:r>
        <w:t xml:space="preserve">2. beim Export nach Lohnveredelung den beim Import angemeldeten Statistischen Wert der unveredelten Waren zuzüglich aller im Erhebungsgebiet für die Veredelung und für die Beförderung der Waren entstandenen Kosten; dies beinhaltet auch den Wert der zugelieferten Waren, den Wert der vom Veredler zur Herstellung der Fertigware gestellten Waren und die Kosten für Verpackung und Umschließung;</w:t>
      </w:r>
    </w:p>
    <w:p>
      <w:pPr>
        <w:ind w:left="420"/>
      </w:pPr>
      <w:r>
        <w:t xml:space="preserve">3. beim Import nach passiver Veredelung den beim Export angemeldeten Statistischen Wert der unveredelten Waren zuzüglich aller im Ausland für die Veredelung und für die Beförderung der Waren entstandenen Kosten; dies beinhaltet auch den Wert der zugelieferten Waren, den Wert der vom Veredler zur Herstellung der Fertigware gestellten Waren sowie die Kosten für Verpackung und Umschließung;</w:t>
      </w:r>
    </w:p>
    <w:p>
      <w:pPr>
        <w:ind w:left="420"/>
      </w:pPr>
      <w:r>
        <w:t xml:space="preserve">4. bei Warenverkehren mit Waren, die ohne Entgelt oder im Rahmen eines Mietgeschäftes geliefert werden, den üblichen Marktpreis der Waren, der auf der Basis der Absätze 1 und 3 erzielt werden würde; entsprechendes gilt für ein Import- oder Exportgeschäft zwischen verbundenen Vertragspartnern nach Artikel 127 der Durchführungsverordnung (EU) 2015/2447, wenn die Verbundenheit zu einer Beeinflussung des Preises geführt hat;</w:t>
      </w:r>
    </w:p>
    <w:p>
      <w:pPr>
        <w:ind w:left="420"/>
      </w:pPr>
      <w:r>
        <w:t xml:space="preserve">5. beim Import oder Export von Datenträgern, die für Zwecke der Weitergabe von standardisierten Daten oder standardisierter Software ausgetauscht werden, unter Beachtung von Absatz 1 den Gesamtwert des Datenträgers einschließlich der Kosten für die weitergegebenen Daten und gegebenenfalls dabei mitberechneter Lizenzen;</w:t>
      </w:r>
    </w:p>
    <w:p>
      <w:pPr>
        <w:ind w:left="420"/>
      </w:pPr>
      <w:r>
        <w:t xml:space="preserve">6. bei Raumflugkörpern den Wert des Raumflugkörpers ohne Transport- und Versicherungskosten und ohne den Wert der beim Start eingesetzten Trägerrakete.</w:t>
      </w:r>
    </w:p>
    <w:p>
      <w:r>
        <w:t xml:space="preserve">(6) Beim Import oder Export von Waren, die im Zusammenhang mit dem vorausgegangenen Import oder Export zurückgesandt werden, gilt als Statistischer Wert der beim vorangegangenen Grenzübertritt angemeldete Statistische Wert zuzüglich der Beförderungskosten, wie beispielsweise Transport- und Versicherungskosten, die bis zur Grenze des Erhebungsgebietes anfallen.</w:t>
      </w:r>
    </w:p>
    <w:p>
      <w:r>
        <w:t xml:space="preserve">(7) Fehlt zum Zeitpunkt der Anmeldung eine Grundlage für die Bildung des Statistischen Wertes, so ist er unter Beachtung der Absätze 1 bis 6 zu ermitteln.</w:t>
      </w:r>
    </w:p>
    <w:p>
      <w:r>
        <w:rPr>
          <w:color w:val="555555"/>
          <w:sz w:val="17"/>
        </w:rPr>
        <w:t xml:space="preserve">Zitiervorschlag: § 12 AHStatDV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https://recht.nulegal.eu/gesetze/AHStatDV%202022/12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