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AHStatDV 2022 — Menge der Ware</w:t>
      </w:r>
    </w:p>
    <w:p>
      <w:r>
        <w:rPr>
          <w:color w:val="555555"/>
          <w:sz w:val="18"/>
        </w:rPr>
        <w:t xml:space="preserve">Außenhandelsstatistik-Durchführungsverordnung</w:t>
      </w:r>
    </w:p>
    <w:p>
      <w:r>
        <w:rPr>
          <w:color w:val="555555"/>
          <w:sz w:val="18"/>
        </w:rPr>
        <w:t xml:space="preserve">Stand: 01.01.2022 (konsolidierte Textfassung, kein amtliches Inkrafttretensdatum)</w:t>
      </w:r>
    </w:p>
    <w:p>
      <w:r>
        <w:t xml:space="preserve">(1) „Menge der Ware“ sind die Eigenmasse, die Rohmasse, das Reingewicht und die Besondere Maßeinheit.</w:t>
      </w:r>
    </w:p>
    <w:p>
      <w:r>
        <w:t xml:space="preserve">(2) Eigenmasse ist die Masse der Ware ohne alle Umschließungen.</w:t>
      </w:r>
    </w:p>
    <w:p>
      <w:r>
        <w:t xml:space="preserve">(3) Die Rohmasse ist die Masse der Ware mit sämtlichen Umschließungen mit Ausnahme von Beförderungsmaterial und Behältern (Containern).</w:t>
      </w:r>
    </w:p>
    <w:p>
      <w:r>
        <w:t xml:space="preserve">(4) Reingewicht ist das Gewicht der Ware einschließlich der Umschließungen, mit denen die Ware beim Einzelverkauf dem Käufer übergeben wird. Das Reingewicht ist in der Anmeldung zur Intrahandelsstatistik anstelle der Eigenmasse anzugeben, wenn es handelsüblich und die Eigenmasse nicht bekannt ist.</w:t>
      </w:r>
    </w:p>
    <w:p>
      <w:r>
        <w:t xml:space="preserve">(5) Die Menge nach einer Besonderen Maßeinheit ist nur dann anzugeben, wenn diese im Warenverzeichnis bei der betreffenden Warennummer vermerkt ist. In der Intrahandelsstatistik muss in diesem Fall keine andere Maßeinheit für die Menge mehr angegeben werden.</w:t>
      </w:r>
    </w:p>
    <w:p>
      <w:r>
        <w:rPr>
          <w:color w:val="555555"/>
          <w:sz w:val="17"/>
        </w:rPr>
        <w:t xml:space="preserve">Zitiervorschlag: § 10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