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AHGV — Inkrafttreten</w:t>
      </w:r>
    </w:p>
    <w:p>
      <w:r>
        <w:rPr>
          <w:color w:val="555555"/>
          <w:sz w:val="18"/>
        </w:rPr>
        <w:t xml:space="preserve">Altschuldenhilfeverordnung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Januar 2001 in Kraft.</w:t>
      </w:r>
    </w:p>
    <w:p>
      <w:r>
        <w:rPr>
          <w:color w:val="555555"/>
          <w:sz w:val="17"/>
        </w:rPr>
        <w:t xml:space="preserve">Zitiervorschlag: § 5 AHGV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https://recht.nulegal.eu/gesetze/AHGV/5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