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AHGV — Voraussetzung für die Leistungsgewährung</w:t>
      </w:r>
    </w:p>
    <w:p>
      <w:r>
        <w:rPr>
          <w:color w:val="555555"/>
          <w:sz w:val="18"/>
        </w:rPr>
        <w:t xml:space="preserve">Altschuldenhilfeverordnung</w:t>
      </w:r>
    </w:p>
    <w:p>
      <w:r>
        <w:rPr>
          <w:color w:val="555555"/>
          <w:sz w:val="18"/>
        </w:rPr>
        <w:t xml:space="preserve">Stand: 10.06.2019 (konsolidierte Textfassung, kein amtliches Inkrafttretensdatum)</w:t>
      </w:r>
    </w:p>
    <w:p>
      <w:r>
        <w:t xml:space="preserve">Eine Entscheidung über die Gewährung des Entlastungsbetrages kann vor Abriss der Wohnfläche erfolgen. Voraussetzungen für die Leistungsgewährung selbst sind der Vollzug des Abrisses oder Rückbaus des jeweiligen Gebäudes spätestens bis 31. Dezember 2013 und die Erfüllung der Verpflichtungen des Wohnungsunternehmens nach § 5 des Altschuldenhilfe-Gesetzes oder die Bestätigung durch die Kreditanstalt für Wiederaufbau, dass das Unternehmen die Nichterfüllung nicht zu vertreten hat.</w:t>
      </w:r>
    </w:p>
    <w:p>
      <w:r>
        <w:rPr>
          <w:color w:val="555555"/>
          <w:sz w:val="17"/>
        </w:rPr>
        <w:t xml:space="preserve">Zitiervorschlag: § 4 AHGV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