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AGyKoVO (Sachsen)</w:t>
      </w:r>
    </w:p>
    <w:p>
      <w:r>
        <w:rPr>
          <w:color w:val="555555"/>
          <w:sz w:val="18"/>
        </w:rPr>
        <w:t xml:space="preserve">Abendgymnasien- und Kollegverordnung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 Berichtigt 25. September 2008 (SächsGVBl. S. 599)]</w:t>
      </w:r>
    </w:p>
    <w:p>
      <w:r>
        <w:t xml:space="preserve">Aufgrund von § 62 Abs. 1, 2 Nr. 5 bis 10 und Abs. 3 sowie § 14 Abs. 4 in Verbindung mit § 7 Abs. 6 des Schulgesetzes für den Freistaat Sachsen (SchulG) in der Fassung der Bekanntmachung vom 16. Juli 2004 (SächsGVBl. S. 298), das zuletzt durch Artikel 31 des Gesetzes vom 29. Januar 2008 (SächsGVBl. S. 138, 163) geändert worden ist, wird verordnet:</w:t>
      </w:r>
    </w:p>
    <w:p>
      <w:r>
        <w:rPr>
          <w:color w:val="555555"/>
          <w:sz w:val="17"/>
        </w:rPr>
        <w:t xml:space="preserve">Zitiervorschlag: Eingangsformel AGyKoVO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https://recht.nulegal.eu/gesetze/AGyKoVO/eingangsformel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