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AGyKoVO (Sachsen) — Schulwechsel an ein anderes Abendgymnasium oder Kolleg</w:t>
      </w:r>
    </w:p>
    <w:p>
      <w:r>
        <w:rPr>
          <w:color w:val="555555"/>
          <w:sz w:val="18"/>
        </w:rPr>
        <w:t xml:space="preserve">Abendgymnasien- und Kollegverordnung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Schüler, die am Ende des Vorkurses oder der Einführungsphase versetzt wurden, können an ein anderes Abendgymnasium oder Kolleg wechseln.</w:t>
      </w:r>
    </w:p>
    <w:p>
      <w:r>
        <w:t xml:space="preserve">(2) Schüler der Kursphase können nur dann an ein anderes Abendgymnasium oder Kolleg wechseln, wenn sie dort die zu belegenden Kurse aus der Jahrgangsstufe 11 fortsetzen können.</w:t>
      </w:r>
    </w:p>
    <w:p>
      <w:r>
        <w:t xml:space="preserve">(3) Während des Schuljahres ist der Wechsel an ein anderes Abendgymnasium oder Kolleg nur aus wichtigem Grund zulässig.</w:t>
      </w:r>
    </w:p>
    <w:p>
      <w:r>
        <w:rPr>
          <w:color w:val="555555"/>
          <w:sz w:val="17"/>
        </w:rPr>
        <w:t xml:space="preserve">Zitiervorschlag: § 8 AGyKoVO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https://recht.nulegal.eu/gesetze/AGyKoVO/8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