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AGyKoVO (Sachsen) — Überspringen von Vorkurs und Einführungsphase</w:t>
      </w:r>
    </w:p>
    <w:p>
      <w:r>
        <w:rPr>
          <w:color w:val="555555"/>
          <w:sz w:val="18"/>
        </w:rPr>
        <w:t xml:space="preserve">Abendgymnasien- und Kollegverordnung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Schulleiter kann das Überspringen von Vorkurs oder Einführungsphase genehmigen, insbesondere wenn der Schüler</w:t>
      </w:r>
    </w:p>
    <w:p>
      <w:r>
        <w:t xml:space="preserve">1. die Fachhochschulreife besitzt,</w:t>
      </w:r>
    </w:p>
    <w:p>
      <w:r>
        <w:t xml:space="preserve">2. die fachgebundene Hochschulreife besitzt oder</w:t>
      </w:r>
    </w:p>
    <w:p>
      <w:r>
        <w:t xml:space="preserve">3. das Gymnasium nach der Jahrgangsstufe 11 verlassen hat.</w:t>
      </w:r>
    </w:p>
    <w:p>
      <w:r>
        <w:rPr>
          <w:color w:val="555555"/>
          <w:sz w:val="17"/>
        </w:rPr>
        <w:t xml:space="preserve">Zitiervorschlag: § 6 AGyKoVO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https://recht.nulegal.eu/gesetze/AGyKoVO/6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