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AGyKoVO (Sachsen) — Andere Rechtsvorschriften</w:t>
      </w:r>
    </w:p>
    <w:p>
      <w:r>
        <w:rPr>
          <w:color w:val="555555"/>
          <w:sz w:val="18"/>
        </w:rPr>
        <w:t xml:space="preserve">Abendgymnasien- und Kollegverordnung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diese Verordnung nichts anderes bestimmt, gelten § 12 Absatz 5, § 24 Absatz 5 und 6, § 25 Absatz 2 bis 5, die §§ 31 und 32 Absatz 6, 8, 9 und 11, die §§ 34 und 42 Absatz 3 Satz 1 und 2, die §§ 49, 53 bis 59, 61 bis 66 sowie 68 Absatz 1 bis 4 und 6 sowie § 69 der Schulordnung Gymnasien Abiturprüfung entsprechend mit der Maßgabe, dass die Einführungsphase an die Stelle der Klassenstufe 10 tritt.</w:t>
      </w:r>
    </w:p>
    <w:p>
      <w:r>
        <w:rPr>
          <w:color w:val="555555"/>
          <w:sz w:val="17"/>
        </w:rPr>
        <w:t xml:space="preserve">Zitiervorschlag: § 28 AGyKoVO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https://recht.nulegal.eu/gesetze/AGyKoVO/28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