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AGyKoVO (Sachsen) — Leistungskursfächer</w:t>
      </w:r>
    </w:p>
    <w:p>
      <w:r>
        <w:rPr>
          <w:color w:val="555555"/>
          <w:sz w:val="18"/>
        </w:rPr>
        <w:t xml:space="preserve">Abendgymnasien- und Kollegverordnung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Erstes Leistungskursfach ist Deutsch oder Mathematik. Zweites Leistungskursfach ist nach Wahl des Schülers eine fortgeführte Fremdsprache, Physik oder Geschichte.</w:t>
      </w:r>
    </w:p>
    <w:p>
      <w:r>
        <w:t xml:space="preserve">(2) Das Abendgymnasium und das Kolleg können als zweites Leistungskursfach zusätzlich Chemie und Biologie anbieten. Das Fächerangebot bedarf der Genehmigung der Schulaufsichtsbehörde.</w:t>
      </w:r>
    </w:p>
    <w:p>
      <w:r>
        <w:t xml:space="preserve">(3) Als Leistungskurse können nur die Fächer gewählt werden, in denen der Schüler auch in der Einführungsphase unterrichtet wurde.</w:t>
      </w:r>
    </w:p>
    <w:p>
      <w:r>
        <w:rPr>
          <w:color w:val="555555"/>
          <w:sz w:val="17"/>
        </w:rPr>
        <w:t xml:space="preserve">Zitiervorschlag: § 19 AGyKoVO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https://recht.nulegal.eu/gesetze/AGyKoVO/19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