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AGyKoVO (Sachsen) — Grundlagen der Leistungsbewertung</w:t>
      </w:r>
    </w:p>
    <w:p>
      <w:r>
        <w:rPr>
          <w:color w:val="555555"/>
          <w:sz w:val="18"/>
        </w:rPr>
        <w:t xml:space="preserve">Abendgymnasien- und Kollegverordnung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Grundlage für die Leistungsanforderungen sind im Vorkurs die Lehrpläne der Klassenstufe 10 der Oberschule und in der Einführungsphase die Lehrpläne der Klassenstufe 10 des Gymnasiums sowie die jeweiligen Bildungsstandards.</w:t>
      </w:r>
    </w:p>
    <w:p>
      <w:r>
        <w:t xml:space="preserve">(2) Die Bewertung von Leistungen des Schülers liegt in der pädagogischen Verantwortung des Lehrers.</w:t>
      </w:r>
    </w:p>
    <w:p>
      <w:r>
        <w:t xml:space="preserve">(3) Grundlage der Leistungsbewertung in einem Unterrichtsfach sind alle vom Schüler in dem Fach erbrachten schriftlichen, mündlichen und praktischen Leistungen. Schriftliche Leistungen sind insbesondere Klassenarbeiten.</w:t>
      </w:r>
    </w:p>
    <w:p>
      <w:r>
        <w:t xml:space="preserve">(4) § 26 Absatz 1 Nummer 1 bis 3, Absatz 2 bis 4 und 6 der Schulordnung Gymnasien Abiturprüfung gilt entsprechend.</w:t>
      </w:r>
    </w:p>
    <w:p>
      <w:r>
        <w:t xml:space="preserve">(5) Der Lehrer hat den Schülern zu Beginn des Schuljahres die maßgebenden Kriterien für die Leistungsbewertung sowie die vorgesehene Gewichtung der verschiedenen Leistungen bei der Notenbildung bekannt zu geben.</w:t>
      </w:r>
    </w:p>
    <w:p>
      <w:r>
        <w:t xml:space="preserve">(6) Der Lehrer hat dem Schüler auf Befragen den Stand seiner mündlichen und praktischen Leistungen bekannt zu geben.</w:t>
      </w:r>
    </w:p>
    <w:p>
      <w:r>
        <w:rPr>
          <w:color w:val="555555"/>
          <w:sz w:val="17"/>
        </w:rPr>
        <w:t xml:space="preserve">Zitiervorschlag: § 12 AGyKoVO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https://recht.nulegal.eu/gesetze/AGyKoVO/12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