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AGyKoVO (Sachsen) — Geltungsbereich und Zusatzbezeichnung</w:t>
      </w:r>
    </w:p>
    <w:p>
      <w:r>
        <w:rPr>
          <w:color w:val="555555"/>
          <w:sz w:val="18"/>
        </w:rPr>
        <w:t xml:space="preserve">Abendgymnasien- und Kollegverordnung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gilt für die Abendgymnasien und Kollegs in öffentlicher Trägerschaft im Freistaat Sachsen. Die §§ 2 bis 8 und 10 Absatz 2 sowie die Abschnitte 3, 4 und 6 mit Ausnahme des § 19 Absatz 2 Satz 2 finden auf als Ersatzschulen staatlich anerkannte Abendgymnasien und Kollegs entsprechende Anwendung.</w:t>
      </w:r>
    </w:p>
    <w:p>
      <w:r>
        <w:t xml:space="preserve">(2) Die Kollegs führen die Zusatzbezeichnung „Institut zur Erlangung der Hochschulreife“.</w:t>
      </w:r>
    </w:p>
    <w:p>
      <w:r>
        <w:rPr>
          <w:color w:val="555555"/>
          <w:sz w:val="17"/>
        </w:rPr>
        <w:t xml:space="preserve">Zitiervorschlag: § 1 AGyKoVO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https://recht.nulegal.eu/gesetze/AGyKoVO/1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