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AGebV — Festgebühr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Festgebühr ist wie folgt zu berechnen:</w:t>
      </w:r>
    </w:p>
    <w:p>
      <w:pPr>
        <w:ind w:left="420"/>
      </w:pPr>
      <w:r>
        <w:t xml:space="preserve">1. nach dem Zeitaufwand, der für die Erbringung der gebührenfähigen Leistung durchschnittlich erforderlich ist, auf der Grundlage</w:t>
      </w:r>
    </w:p>
    <w:p>
      <w:pPr>
        <w:ind w:left="780"/>
      </w:pPr>
      <w:r>
        <w:t xml:space="preserve">a) der allgemeinen pauschalen Stundensätze nach Anlage 1 oder</w:t>
      </w:r>
    </w:p>
    <w:p>
      <w:pPr>
        <w:ind w:left="780"/>
      </w:pPr>
      <w:r>
        <w:t xml:space="preserve">b) der besonderen pauschalen Stundensätze nach Anlage 2 oder</w:t>
      </w:r>
    </w:p>
    <w:p>
      <w:pPr>
        <w:ind w:left="420"/>
      </w:pPr>
      <w:r>
        <w:t xml:space="preserve">2. auf der Grundlage der Kosten, die durch eine Kosten-und-Leistungs-Rechnung ermittelt worden sind.</w:t>
      </w:r>
    </w:p>
    <w:p>
      <w:r>
        <w:t xml:space="preserve">(2) Die Berechnungsmethoden können miteinander kombiniert werden.</w:t>
      </w:r>
    </w:p>
    <w:p>
      <w:r>
        <w:rPr>
          <w:color w:val="555555"/>
          <w:sz w:val="17"/>
        </w:rPr>
        <w:t xml:space="preserve">Zitiervorschlag: § 9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