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AGebV — Verteilung der Gemeinkosten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Verteilung der Gemeinkosten sind sachgerechte Maßstäbe anzuwenden, die an den für die gebührenfähige Leistung erforderlichen Zeit-, Personal- oder Sachaufwand anknüpfen sollen.</w:t>
      </w:r>
    </w:p>
    <w:p>
      <w:r>
        <w:t xml:space="preserve">(2) Ist eine Verteilung der Gemeinkosten nicht oder nur mit einem unverhältnismäßig großen Aufwand möglich, so werden sie mit einem angemessenen prozentualen Zuschlag auf die Einzelkosten angesetzt.</w:t>
      </w:r>
    </w:p>
    <w:p>
      <w:r>
        <w:rPr>
          <w:color w:val="555555"/>
          <w:sz w:val="17"/>
        </w:rPr>
        <w:t xml:space="preserve">Zitiervorschlag: § 8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