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AGebV — Gegenstand der Kostenermittlung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Ermittlung der durchschnittlichen Kosten ist ausschließlich die unter den Gebührentatbestand fallende gebührenfähige Leistung. Mehrere sachlich zusammenhängende gebührenfähige Leistungen können zu einem einheitlichen Gebührentatbestand zusammengefasst werden.</w:t>
      </w:r>
    </w:p>
    <w:p>
      <w:r>
        <w:t xml:space="preserve">(2) Folgende Kosten dürfen bei der Gebührenkalkulation nicht berücksichtigt werden:</w:t>
      </w:r>
    </w:p>
    <w:p>
      <w:pPr>
        <w:ind w:left="420"/>
      </w:pPr>
      <w:r>
        <w:t xml:space="preserve">1. Kosten, die bereits in Kostenpositionen der zu berechnenden oder einer anderen gebührenfähigen Leistung enthalten sind,</w:t>
      </w:r>
    </w:p>
    <w:p>
      <w:pPr>
        <w:ind w:left="420"/>
      </w:pPr>
      <w:r>
        <w:t xml:space="preserve">2. Kosten für eine andere nicht gebührenfähige Leistung,</w:t>
      </w:r>
    </w:p>
    <w:p>
      <w:pPr>
        <w:ind w:left="420"/>
      </w:pPr>
      <w:r>
        <w:t xml:space="preserve">3. Kosten in Form von Mindereinnahmen, die durch eine Gebührenbefreiung oder -ermäßigung entstehen,</w:t>
      </w:r>
    </w:p>
    <w:p>
      <w:pPr>
        <w:ind w:left="420"/>
      </w:pPr>
      <w:r>
        <w:t xml:space="preserve">4. Kosten in Form von Mindereinnahmen, die durch eine nicht fristgerechte oder nicht erfolgte Zahlung, insbesondere durch eine Stundung oder einen Erlass, entstehen.</w:t>
      </w:r>
    </w:p>
    <w:p>
      <w:r>
        <w:rPr>
          <w:color w:val="555555"/>
          <w:sz w:val="17"/>
        </w:rPr>
        <w:t xml:space="preserve">Zitiervorschlag: § 6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