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AGebV — Kosten der gebührenfähigen Leistung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gebührenfähigen Leistung verbunden sind die Kosten für Tätigkeiten und Prozesse, die für die Leistungserbringung notwendig sind und</w:t>
      </w:r>
    </w:p>
    <w:p>
      <w:pPr>
        <w:ind w:left="420"/>
      </w:pPr>
      <w:r>
        <w:t xml:space="preserve">1. durch die Leistungserbringung selbst verursacht werden oder</w:t>
      </w:r>
    </w:p>
    <w:p>
      <w:pPr>
        <w:ind w:left="420"/>
      </w:pPr>
      <w:r>
        <w:t xml:space="preserve">2. durch Neben- und Zusatzleistungen verursacht werden, die mit der eigentlichen Leistungserbringung in einem ausreichend engen Sachzusammenhang stehen.</w:t>
      </w:r>
    </w:p>
    <w:p>
      <w:r>
        <w:t xml:space="preserve">(2) Insbesondere folgende Kosten nach Absatz 1 Nummer 2 werden als Gemeinkosten anteilig erfasst:</w:t>
      </w:r>
    </w:p>
    <w:p>
      <w:pPr>
        <w:ind w:left="420"/>
      </w:pPr>
      <w:r>
        <w:t xml:space="preserve">1. Kosten für die Leitung,</w:t>
      </w:r>
    </w:p>
    <w:p>
      <w:pPr>
        <w:ind w:left="420"/>
      </w:pPr>
      <w:r>
        <w:t xml:space="preserve">2. Kosten für die Bereitstellung und Bereithaltung der allgemeinen Verwaltungsbereiche,</w:t>
      </w:r>
    </w:p>
    <w:p>
      <w:pPr>
        <w:ind w:left="420"/>
      </w:pPr>
      <w:r>
        <w:t xml:space="preserve">3. Kosten für die Rechts- und Fachaufsicht sowie</w:t>
      </w:r>
    </w:p>
    <w:p>
      <w:pPr>
        <w:ind w:left="420"/>
      </w:pPr>
      <w:r>
        <w:t xml:space="preserve">4. Kosten für sonstige Bereiche, die die Leistungserbringung vorbereiten, nachbereiten oder sonst unterstützen.</w:t>
      </w:r>
    </w:p>
    <w:p>
      <w:r>
        <w:rPr>
          <w:color w:val="555555"/>
          <w:sz w:val="17"/>
        </w:rPr>
        <w:t xml:space="preserve">Zitiervorschlag: § 3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