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AGebV — Grundsätze</w:t>
      </w:r>
    </w:p>
    <w:p>
      <w:r>
        <w:rPr>
          <w:color w:val="555555"/>
          <w:sz w:val="18"/>
        </w:rPr>
        <w:t xml:space="preserve">Allgemeine 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kostendeckende Gebühr muss diejenigen durchschnittlichen Kosten aller an der Leistungserbringung beteiligten öffentlichen Stellen decken, die</w:t>
      </w:r>
    </w:p>
    <w:p>
      <w:pPr>
        <w:ind w:left="420"/>
      </w:pPr>
      <w:r>
        <w:t xml:space="preserve">1. mit der gebührenfähigen Leistung verbunden sind und</w:t>
      </w:r>
    </w:p>
    <w:p>
      <w:pPr>
        <w:ind w:left="420"/>
      </w:pPr>
      <w:r>
        <w:t xml:space="preserve">2. nach betriebswirtschaftlichen Grundsätzen ansatzfähig sind.</w:t>
      </w:r>
    </w:p>
    <w:p>
      <w:r>
        <w:t xml:space="preserve">(2) Die Gebührenberechnung soll dem Handbuch zur Kosten- und Leistungsrechnung in der Bundesverwaltung (GMBl 2013 S. 1235) entsprechen. Die Regelungen der §§ 3 bis 8 gehen vor.</w:t>
      </w:r>
    </w:p>
    <w:p>
      <w:r>
        <w:t xml:space="preserve">(3) Die Regelungen zur Ermittlung der kostendeckenden Gebühr bilden die Grundlage für die Regelungen in den Besonderen Gebührenverordnungen nach § 22 Absatz 4 Satz 1 des Bundesgebührengesetzes.</w:t>
      </w:r>
    </w:p>
    <w:p>
      <w:r>
        <w:rPr>
          <w:color w:val="555555"/>
          <w:sz w:val="17"/>
        </w:rPr>
        <w:t xml:space="preserve">Zitiervorschlag: § 2 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