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AGebV — Inkrafttreten</w:t>
      </w:r>
    </w:p>
    <w:p>
      <w:r>
        <w:rPr>
          <w:color w:val="555555"/>
          <w:sz w:val="18"/>
        </w:rPr>
        <w:t xml:space="preserve">Allgemeine 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13 AGebV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https://recht.nulegal.eu/gesetze/AGebV/13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