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AGebV — Rahmengebühr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Unter- und die Obergrenze der Rahmengebühr ergeben sich</w:t>
      </w:r>
    </w:p>
    <w:p>
      <w:pPr>
        <w:ind w:left="420"/>
      </w:pPr>
      <w:r>
        <w:t xml:space="preserve">1. durch Multiplikation des für die gebührenfähige Leistung ermittelten</w:t>
      </w:r>
    </w:p>
    <w:p>
      <w:pPr>
        <w:ind w:left="780"/>
      </w:pPr>
      <w:r>
        <w:t xml:space="preserve">a) niedrigsten Stundensatzes mit dem niedrigsten Zeitaufwand, der für die Erbringung der gebührenfähigen Leistung durchschnittlich erforderlich ist, und</w:t>
      </w:r>
    </w:p>
    <w:p>
      <w:pPr>
        <w:ind w:left="780"/>
      </w:pPr>
      <w:r>
        <w:t xml:space="preserve">b) höchsten Stundensatzes mit dem höchsten Zeitaufwand, der für die Erbringung der gebührenfähigen Leistung durchschnittlich erforderlich ist, oder</w:t>
      </w:r>
    </w:p>
    <w:p>
      <w:pPr>
        <w:ind w:left="420"/>
      </w:pPr>
      <w:r>
        <w:t xml:space="preserve">2. aus den durch eine Kosten-und-Leistungs-Rechnung ermittelten niedrigsten und höchsten Kosten.</w:t>
      </w:r>
    </w:p>
    <w:p>
      <w:r>
        <w:t xml:space="preserve">Für die Ermittlung der Stundensätze nach Satz 1 Nummer 1 gilt § 9 entsprechend.</w:t>
      </w:r>
    </w:p>
    <w:p>
      <w:r>
        <w:rPr>
          <w:color w:val="555555"/>
          <w:sz w:val="17"/>
        </w:rPr>
        <w:t xml:space="preserve">Zitiervorschlag: § 11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