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AGebV — Zeitgebühr</w:t>
      </w:r>
    </w:p>
    <w:p>
      <w:r>
        <w:rPr>
          <w:color w:val="555555"/>
          <w:sz w:val="18"/>
        </w:rPr>
        <w:t xml:space="preserve">Allgemeine 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Zeitgebühr ist nach dem Zeitaufwand, der für die Erbringung der gebührenfähigen Leistung im Einzelfall erforderlich ist, zu bestimmen.</w:t>
      </w:r>
    </w:p>
    <w:p>
      <w:r>
        <w:t xml:space="preserve">(2) Der Berechnung der Zeitgebühr sind folgende Stundensätze zugrunde zu legen:</w:t>
      </w:r>
    </w:p>
    <w:p>
      <w:pPr>
        <w:ind w:left="420"/>
      </w:pPr>
      <w:r>
        <w:t xml:space="preserve">1. die allgemeinen pauschalen Stundensätze nach Anlage 1,</w:t>
      </w:r>
    </w:p>
    <w:p>
      <w:pPr>
        <w:ind w:left="420"/>
      </w:pPr>
      <w:r>
        <w:t xml:space="preserve">2. die besonderen pauschalen Stundensätze nach Anlage 2 oder</w:t>
      </w:r>
    </w:p>
    <w:p>
      <w:pPr>
        <w:ind w:left="420"/>
      </w:pPr>
      <w:r>
        <w:t xml:space="preserve">3. die Stundensätze, die durch eine Kosten-und-Leistungs-Rechnung ermittelt worden sind.</w:t>
      </w:r>
    </w:p>
    <w:p>
      <w:r>
        <w:t xml:space="preserve">(3) Die Berechnungsmethoden können miteinander kombiniert werden.</w:t>
      </w:r>
    </w:p>
    <w:p>
      <w:r>
        <w:t xml:space="preserve">(4) Bei der Festsetzung einer Zeitgebühr ist für jede angefangene Viertelstunde ein Viertel des jeweiligen Stundensatzes anzusetzen.</w:t>
      </w:r>
    </w:p>
    <w:p>
      <w:r>
        <w:rPr>
          <w:color w:val="555555"/>
          <w:sz w:val="17"/>
        </w:rPr>
        <w:t xml:space="preserve">Zitiervorschlag: § 10 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https://recht.nulegal.eu/gesetze/AGebV/10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