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AGebV — Regelungsgegenstand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dieser Verordnung sind für individuell zurechenbare öffentliche Leistungen (gebührenfähige Leistungen) im Anwendungsbereich des Bundesgebührengesetzes:</w:t>
      </w:r>
    </w:p>
    <w:p>
      <w:pPr>
        <w:ind w:left="420"/>
      </w:pPr>
      <w:r>
        <w:t xml:space="preserve">1. Vorgaben zur Ermittlung der kostendeckenden Gebühr nach § 9 Absatz 1 des Bundesgebührengesetzes einschließlich der Bemessung von Zeitgebühren,</w:t>
      </w:r>
    </w:p>
    <w:p>
      <w:pPr>
        <w:ind w:left="420"/>
      </w:pPr>
      <w:r>
        <w:t xml:space="preserve">2. die Festlegung von Gebühren für Beglaubigungen.</w:t>
      </w:r>
    </w:p>
    <w:p>
      <w:r>
        <w:rPr>
          <w:color w:val="555555"/>
          <w:sz w:val="17"/>
        </w:rPr>
        <w:t xml:space="preserve">Zitiervorschlag: § 1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