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AG_SGBXII (Brandenburg) — Personal- und Sachkosten</w:t>
      </w:r>
    </w:p>
    <w:p>
      <w:r>
        <w:rPr>
          <w:color w:val="555555"/>
          <w:sz w:val="18"/>
        </w:rPr>
        <w:t xml:space="preserve">Gesetz zur Ausführung des Zwölften Buches Sozialgesetzbuch (AG-SGB XII)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örtlichen Träger der Sozialhilfe erhalten zum Ausgleich der aufzuwendenden Personal- und Sachkosten eine Pauschale in Höhe von 3,6 Prozent der nach § 10 ermittelten Gesamtnettoaufwendungen für die Sozialhilfe abzüglich des kommunalen Eigenanteils. Für die Erledigung der Aufgaben nach § 4 Absatz 1a und 2, die gemäß § 10 Absatz 2a und 2c berücksichtigungsfähig sind, erhalten die örtlichen Träger der Sozialhilfe zusätzlich eine Fallpauschale von 46,43 Euro.</w:t>
      </w:r>
    </w:p>
    <w:p>
      <w:r>
        <w:t xml:space="preserve">(2) Die Personal- und Sachkostenpauschale nach Absatz 1 Satz 1 sowie die Fallpauschale nach Absatz 1 Satz 2 werden bei der Gewährung der Abschläge nach § 11 Absatz 2 berücksichtigt.</w:t>
      </w:r>
    </w:p>
    <w:p>
      <w:r>
        <w:t xml:space="preserve">(3) Die Auskömmlichkeit der Personal- und Sachkostenpauschale nach Absatz 1 Satz 1 wird im Rahmen der Evaluierung nach § 15 überprüft und die Pauschale rückwirkend angepasst.</w:t>
      </w:r>
    </w:p>
    <w:p>
      <w:r>
        <w:t xml:space="preserve">(4) Soweit die Personal- und Sachkostenpauschale nach Absatz 1 Satz 1 nicht auskömmlich war, haben die örtlichen Träger der Eingliederungshilfe Anspruch auf rückwirkenden Ausgleich durch das Land. Soweit die Personal- und Sachkostenpauschale nach Absatz 1 Satz 1 zu hoch war, werden die jeweiligen Überzahlungen des Landes im Rahmen der nächsten Abschlagszahlung verrechnet.</w:t>
      </w:r>
    </w:p>
    <w:p>
      <w:r>
        <w:rPr>
          <w:color w:val="555555"/>
          <w:sz w:val="17"/>
        </w:rPr>
        <w:t xml:space="preserve">Zitiervorschlag: § 12 AG_SGBXII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https://recht.nulegal.eu/gesetze/AG_SGBXII/12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