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AG_SGBXII (Brandenburg) — Ziel des Gesetzes</w:t>
      </w:r>
    </w:p>
    <w:p>
      <w:r>
        <w:rPr>
          <w:color w:val="555555"/>
          <w:sz w:val="18"/>
        </w:rPr>
        <w:t xml:space="preserve">Gesetz zur Ausführung des Zwölften Buches Sozialgesetzbuch (AG-SGB XII)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Ziel dieses Gesetzes ist</w:t>
      </w:r>
    </w:p>
    <w:p>
      <w:r>
        <w:t xml:space="preserve">die Gewährleistung einer wirtschaftlichen personenzentrierten Hilfe unabhängig von bestehenden Leistungsformen,</w:t>
      </w:r>
    </w:p>
    <w:p>
      <w:r>
        <w:t xml:space="preserve">die Sicherstellung einer einheitlichen Rechtsanwendung,</w:t>
      </w:r>
    </w:p>
    <w:p>
      <w:r>
        <w:t xml:space="preserve">die Förderung der Selbstbestimmung der Leistungsberechtigten bei der Auswahl geeigneter Leistungsangebote.</w:t>
      </w:r>
    </w:p>
    <w:p>
      <w:r>
        <w:rPr>
          <w:color w:val="555555"/>
          <w:sz w:val="17"/>
        </w:rPr>
        <w:t xml:space="preserve">Zitiervorschlag: § 1 AG_SGBXII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https://recht.nulegal.eu/gesetze/AG_SGBXII/1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AG_SGBXII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