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AG_SGBIX (Brandenburg) — Interessenvertretung der Menschen mit Behinderungen</w:t>
      </w:r>
    </w:p>
    <w:p>
      <w:r>
        <w:rPr>
          <w:color w:val="555555"/>
          <w:sz w:val="18"/>
        </w:rPr>
        <w:t xml:space="preserve">Gesetz zur Ausführung des Neunten Buches Sozialgesetzbuch (AG-SGB IX)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Maßgebliche Interessenvertretung der Menschen mit Behinderungen im Sinne des Teils 2 des Neunten Buches Sozialgesetzbuch ist der Landesbehindertenbeirat Brandenburg.</w:t>
      </w:r>
    </w:p>
    <w:p>
      <w:r>
        <w:t xml:space="preserve">(2) Für seine Mitwirkung bei der Erarbeitung und Beschlussfassung der Rahmenverträge nach § 131 Absatz 2 des Neunten Buches Sozialgesetzbuch benennt der Landesbehindertenbeirat Brandenburg bis zu drei Vertreterinnen und Vertreter zur Interessenvertretung.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AG_SGBIX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https://recht.nulegal.eu/gesetze/AG_SGBIX/5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