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AGZweigstV (Bayern)</w:t>
      </w:r>
    </w:p>
    <w:p>
      <w:r>
        <w:rPr>
          <w:color w:val="555555"/>
          <w:sz w:val="18"/>
        </w:rPr>
        <w:t xml:space="preserve">Amtsgericht-Zweigstellen-Verordnung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II § 3 der Verordnung zur einheitlichen Regelung der Gerichtsverfassung vom 20. März 1935 (BGBl. III 300-5) sowie Art. 1 § 3 Satz 1, Art. 2 des Gesetzes über die Zuständigkeit der Gerichte bei Änderungen der Gerichtseinteilung vom 6. Dezember 1933 (BGBl. III 300-4) erläßt das Bayerische Staatsministerium der Justiz folgende Verordnung:</w:t>
      </w:r>
    </w:p>
    <w:p>
      <w:r>
        <w:rPr>
          <w:color w:val="555555"/>
          <w:sz w:val="17"/>
        </w:rPr>
        <w:t xml:space="preserve">Zitiervorschlag: Eingangsformel AGZweigstV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https://recht.nulegal.eu/gesetze/AGZweigstV/eingangsformel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