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AGZweigstV (Bayern)</w:t>
      </w:r>
    </w:p>
    <w:p>
      <w:r>
        <w:rPr>
          <w:color w:val="555555"/>
          <w:sz w:val="18"/>
        </w:rPr>
        <w:t xml:space="preserve">Amtsgericht-Zweigstellen-Verordnung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Amtsgericht Sonthofen ist für solche Verfahren zuständig, bei denen sich die Zuständigkeit nach einem bei der früheren Zweigstelle Sonthofen anhängig gewesenen Verfahren bestimmt.</w:t>
      </w:r>
    </w:p>
    <w:p>
      <w:r>
        <w:rPr>
          <w:color w:val="555555"/>
          <w:sz w:val="17"/>
        </w:rPr>
        <w:t xml:space="preserve">Zitiervorschlag: § 4 AGZweigstV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https://recht.nulegal.eu/gesetze/AGZweigstV/4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