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AGZweigstV (Bayern)</w:t>
      </w:r>
    </w:p>
    <w:p>
      <w:r>
        <w:rPr>
          <w:color w:val="555555"/>
          <w:sz w:val="18"/>
        </w:rPr>
        <w:t xml:space="preserve">Amtsgericht-Zweigstellen-Verordnung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Zweigstellen sind in ihrem Bezirk für sämtliche amtsgerichtliche Geschäfte zuständig, soweit nicht im Rahmen der Geschäftsverteilung Abweichendes bestimmt wird.</w:t>
      </w:r>
    </w:p>
    <w:p>
      <w:r>
        <w:t xml:space="preserve">(2) Von der Regelung in Absatz 1 sind ausgenommen:</w:t>
      </w:r>
    </w:p>
    <w:p>
      <w:r>
        <w:t xml:space="preserve">1. Angelegenheiten, deren Erledigung durch Gesetz oder Rechtsverordnung bestimmten Amtsgerichten übertragen ist,</w:t>
      </w:r>
    </w:p>
    <w:p>
      <w:r>
        <w:t xml:space="preserve">2. Schöffen- und Jugendschöffengerichtssachen,</w:t>
      </w:r>
    </w:p>
    <w:p>
      <w:r>
        <w:t xml:space="preserve">3. Strafsachen nach dem Weingesetz und nach dem Lebensmittelrecht,</w:t>
      </w:r>
    </w:p>
    <w:p>
      <w:r>
        <w:t xml:space="preserve">4. Familiensachen nach § 23b Abs. 1 des Gerichtsverfassungsgesetzes,</w:t>
      </w:r>
    </w:p>
    <w:p>
      <w:r>
        <w:t xml:space="preserve">5. Strafsachen nach dem Betäubungsmittelgesetz.</w:t>
      </w:r>
    </w:p>
    <w:p>
      <w:r>
        <w:rPr>
          <w:color w:val="555555"/>
          <w:sz w:val="17"/>
        </w:rPr>
        <w:t xml:space="preserve">Zitiervorschlag: § 3 AGZweigstV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https://recht.nulegal.eu/gesetze/AGZweigstV/3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