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AGZweigstV (Bayern)</w:t>
      </w:r>
    </w:p>
    <w:p>
      <w:r>
        <w:rPr>
          <w:color w:val="555555"/>
          <w:sz w:val="18"/>
        </w:rPr>
        <w:t xml:space="preserve">Amtsgericht-Zweigstellen-Verordnung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Bezirke der Zweigstellen umfassen die in der Anlage aufgeführten Gemeinden und gemeindefreien Gebiete. Art. I § 1 Abs. 3 der Verordnung zur einheitlichen Regelung der Gerichtsverfassung vom 20. März 1935 (BGBl. III 300-5) gilt für die Zweigstellenbezirke innerhalb der Bezirke der Amtsgerichte entsprechend.</w:t>
      </w:r>
    </w:p>
    <w:p>
      <w:r>
        <w:rPr>
          <w:color w:val="555555"/>
          <w:sz w:val="17"/>
        </w:rPr>
        <w:t xml:space="preserve">Zitiervorschlag: § 2 AGZweigstV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https://recht.nulegal.eu/gesetze/AGZweigstV/2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