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AGVwGO (Bayern) — Vertrauensleute des Ausschusses zur Wahl der ehrenamtlichen Richter</w:t>
      </w:r>
    </w:p>
    <w:p>
      <w:r>
        <w:rPr>
          <w:color w:val="555555"/>
          <w:sz w:val="18"/>
        </w:rPr>
        <w:t xml:space="preserve">Gesetz zur Ausführung der Verwaltungsgerichtsordnung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Vertrauensleute und ihre Vertreter werden vom Bezirkstag, mit seiner Ermächtigung vom Bezirksausschuß gewählt. Art. 42 Abs. 3 der Bezirksordnung ist anzuwenden.</w:t>
      </w:r>
    </w:p>
    <w:p>
      <w:r>
        <w:t xml:space="preserve">(2) Für den beim Verwaltungsgericht Regensburg zu bestellenden Ausschuß zur Wahl der ehrenamtlichen Verwaltungsrichter wählt der Bezirkstag Niederbayern je vier, der Bezirkstag Oberpfalz je drei Vertrauensleute und Vertreter.</w:t>
      </w:r>
    </w:p>
    <w:p>
      <w:r>
        <w:t xml:space="preserve">(3) Die Vertrauensleute und ihre Vertreter werden auf vier Jahre gewählt. Die §§ 23 und 24 Abs. 1 und 2 VwGO gelten entsprechend; über die Befreiung von der Übernahme oder der weiteren Ausübung des Amts und über die Entbindung von diesem Amt entscheidet der Bezirkstag, mit seiner Ermächtigung der Bezirksausschuß.</w:t>
      </w:r>
    </w:p>
    <w:p>
      <w:r>
        <w:rPr>
          <w:color w:val="555555"/>
          <w:sz w:val="17"/>
        </w:rPr>
        <w:t xml:space="preserve">Zitiervorschlag: Art 9 AGVwGO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https://recht.nulegal.eu/gesetze/AGVwGO/9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