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AGVwGO (Bayern) — Geschäftsordnung; Gewährung von Zulagen</w:t>
      </w:r>
    </w:p>
    <w:p>
      <w:r>
        <w:rPr>
          <w:color w:val="555555"/>
          <w:sz w:val="18"/>
        </w:rPr>
        <w:t xml:space="preserve">Gesetz zur Ausführung der Verwaltungsgerichtsordnung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Verwaltungsgerichtshof gibt sich eine Geschäftsordnung, die das Präsidium beschließt. Sie bedarf der Genehmigung des Staatsministers des Innern, für Sport und Integration.</w:t>
      </w:r>
    </w:p>
    <w:p>
      <w:r>
        <w:t xml:space="preserve">(2) Der Präsident des Verwaltungsgerichtshofs erläßt für jedes Verwaltungsgericht eine Geschäftsordnung. Das Präsidium des Verwaltungsgerichts ist vorher gutachtlich zu hören.</w:t>
      </w:r>
    </w:p>
    <w:p>
      <w:r>
        <w:t xml:space="preserve">(3) Die Präsidenten der Verwaltungsgerichte und des Verwaltungsgerichtshofs können nach Maßgabe des Art. 56 Abs. 2 des Bayerischen Besoldungsgesetzes besondere Zulagen nach gerichtsinterner Ausschreibung im Benehmen mit dem Präsidium und dem Richterrat jeweils für die Dauer eines Geschäftsjahres gewähren.</w:t>
      </w:r>
    </w:p>
    <w:p>
      <w:r>
        <w:rPr>
          <w:color w:val="555555"/>
          <w:sz w:val="17"/>
        </w:rPr>
        <w:t xml:space="preserve">Zitiervorschlag: Art 7 AGVwGO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https://recht.nulegal.eu/gesetze/AGVwGO/7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