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AGVwGO (Bayern) — Zuständigkeit des Verwaltungsgerichtshofs für Streitigkeiten über Besitzeinweisungen</w:t>
      </w:r>
    </w:p>
    <w:p>
      <w:r>
        <w:rPr>
          <w:color w:val="555555"/>
          <w:sz w:val="18"/>
        </w:rPr>
        <w:t xml:space="preserve">Gesetz zur Ausführung der Verwaltungsgerichtsordnung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Verwaltungsgerichtshof entscheidet im ersten Rechtszug über Streitigkeiten, die Besitzeinweisungen in den Fällen des § 48 Abs. 1 Satz 1 VwGO betreffen.</w:t>
      </w:r>
    </w:p>
    <w:p>
      <w:r>
        <w:rPr>
          <w:color w:val="555555"/>
          <w:sz w:val="17"/>
        </w:rPr>
        <w:t xml:space="preserve">Zitiervorschlag: Art 5 AGVwGO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https://recht.nulegal.eu/gesetze/AGVwGO/5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