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AGVwGO (Bayern) — Zuständigkeit für Normenkontrollverfahren</w:t>
      </w:r>
    </w:p>
    <w:p>
      <w:r>
        <w:rPr>
          <w:color w:val="555555"/>
          <w:sz w:val="18"/>
        </w:rPr>
        <w:t xml:space="preserve">Gesetz zur Ausführung der Verwaltungsgerichtsordnung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Verwaltungsgerichtshof entscheidet im Rahmen seiner Gerichtsbarkeit auf Antrag über die Gültigkeit von Rechtsvorschriften, die im Rang unter dem Landesgesetz stehen. Über Satzungen nach Art. 81 Abs. 1 der Bayerischen Bauordnung entscheidet der Verwaltungsgerichtshof nur, wenn</w:t>
      </w:r>
    </w:p>
    <w:p>
      <w:r>
        <w:t xml:space="preserve">1. der Antrag von einer Behörde gestellt wird und</w:t>
      </w:r>
    </w:p>
    <w:p>
      <w:r>
        <w:t xml:space="preserve">2. die Rechtssache grundsätzliche Bedeutung hat.</w:t>
      </w:r>
    </w:p>
    <w:p>
      <w:r>
        <w:rPr>
          <w:color w:val="555555"/>
          <w:sz w:val="17"/>
        </w:rPr>
        <w:t xml:space="preserve">Zitiervorschlag: Art 4 AGVwGO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https://recht.nulegal.eu/gesetze/AGVwGO/4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