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11 AGVwGO (Bayern) — Rechtsbehelfe</w:t>
      </w:r>
    </w:p>
    <w:p>
      <w:r>
        <w:rPr>
          <w:color w:val="555555"/>
          <w:sz w:val="18"/>
        </w:rPr>
        <w:t xml:space="preserve">Gesetz zur Ausführung der Verwaltungsgerichtsordnung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Soweit nicht anderes bestimmt wird, tritt der Widerspruch an die Stelle aller förmlichen Rechtsbehelfe, die das Landesrecht für das Verwaltungsverfahren einräumt.</w:t>
      </w:r>
    </w:p>
    <w:p>
      <w:r>
        <w:t xml:space="preserve">(2) Unberührt bleiben die Rechtsbehelfe nach dem Bayerischen Disziplinargesetz.</w:t>
      </w:r>
    </w:p>
    <w:p>
      <w:r>
        <w:t xml:space="preserve">(3) Unberührt bleiben die Rechtsbehelfe nach dem Landeswahlgesetz, dem Bezirkswahlgesetz und dem Gemeinde- und Landkreiswahlgesetz, soweit sie nicht Voraussetzung der verwaltungsgerichtlichen Klage sind.</w:t>
      </w:r>
    </w:p>
    <w:p>
      <w:r>
        <w:rPr>
          <w:color w:val="555555"/>
          <w:sz w:val="17"/>
        </w:rPr>
        <w:t xml:space="preserve">Zitiervorschlag: Art 11 AGVwGO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https://recht.nulegal.eu/gesetze/AGVwGO/11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