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AGTierNebG (Brandenburg) — Bindung an die Einzugsbereiche</w:t>
      </w:r>
    </w:p>
    <w:p>
      <w:r>
        <w:rPr>
          <w:color w:val="555555"/>
          <w:sz w:val="18"/>
        </w:rPr>
        <w:t xml:space="preserve">Gesetz zur Ausführung des Tierische Nebenprodukte-Beseitigungsgesetzes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Tierkörper und sonstige tierische Nebenprodukte sind, soweit sie der Beseitigungspflicht nach § 3 Abs. 1 des Tierische Nebenprodukte-Beseitigungsgesetzes unterliegen, in dem Verarbeitungsbetrieb, der Verbrennungsanlage oder Mitverbrennungsanlage zu beseitigen, in deren Einzugsbereich sie angefallen sind. Das für Tierkörperbeseitigung zuständige Ministerium kann eine abweichende Regelung gemäß § 6 Abs. 2 des Tierische Nebenprodukte-Beseitigungsgesetzes treffen oder auf Antrag eine Ausnahmegenehmigung erteilen.</w:t>
      </w:r>
    </w:p>
    <w:p>
      <w:r>
        <w:rPr>
          <w:color w:val="555555"/>
          <w:sz w:val="17"/>
        </w:rPr>
        <w:t xml:space="preserve">Zitiervorschlag: § 4 AGTierNebG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https://recht.nulegal.eu/gesetze/AGTierNebG/4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