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AGTierNebG (Brandenburg) — Anwendungsbereich</w:t>
      </w:r>
    </w:p>
    <w:p>
      <w:r>
        <w:rPr>
          <w:color w:val="555555"/>
          <w:sz w:val="18"/>
        </w:rPr>
        <w:t xml:space="preserve">Gesetz zur Ausführung des Tierische Nebenprodukte-Beseitigungsgesetzes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Dieses Gesetz bildet die Grundlage für die Überwachung nicht für den menschlichen Verzehr bestimmter tierischer Nebenprodukte im Sinne des Tierische Nebenprodukte-Beseitigungsgesetzes vom 25. Januar 2004 ( BGBl. I S. 82), das zuletzt durch Artikel 1 des Gesetzes vom 4. August 2016 (BGBl. I S. 1966) geändert worden ist, und der Verordnung ( EG ) Nr. 1069/2009 des Europäischen Parlaments und des Rates vom 21. Oktober 2009 mit Hygienevorschriften für nicht für den menschlichen Verzehr bestimmte tierische Nebenprodukte und zur Aufhebung der Verordnung (EG) Nr. 1774/2002 ( ABl. L 300 vom 14.11.2009, S. 1; L 348 vom 4.12.2014, S. 31), die zuletzt durch die Verordnung ( EU ) 2017/625 vom 15. März 2017 (ABl. L 95 vom 7.4.2017, S. 1) geändert worden ist.</w:t>
      </w:r>
    </w:p>
    <w:p>
      <w:r>
        <w:t xml:space="preserve">(2) Dieses Gesetz gilt auch für die Überwachung von Folgeprodukten im Sinne der in Absatz 1 genannten Gesetze, soweit sie Vorschriften in unmittelbar geltenden Rechtsakten der Europäischen Gemeinschaften unterliegen.</w:t>
      </w:r>
    </w:p>
    <w:p>
      <w:r>
        <w:t xml:space="preserve">(3) Verweisungen in diesem Gesetz auf Rechtsakte des Bundes oder der Europäischen Gemeinschaften gelten bei Änderungen dieser Rechtsakte als Verweisungen auf die geänderten Rechtsakte, soweit das gleiche Sachgebiet geregelt ist.</w:t>
      </w:r>
    </w:p>
    <w:p>
      <w:r>
        <w:rPr>
          <w:color w:val="555555"/>
          <w:sz w:val="17"/>
        </w:rPr>
        <w:t xml:space="preserve">Zitiervorschlag: § 1 AGTierNebG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https://recht.nulegal.eu/gesetze/AGTierNebG/1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