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AGTierGesGDV (Brandenburg) — Feststellung des Krankheitszustandes</w:t>
      </w:r>
    </w:p>
    <w:p>
      <w:r>
        <w:rPr>
          <w:color w:val="555555"/>
          <w:sz w:val="18"/>
        </w:rPr>
        <w:t xml:space="preserve">Verordnung zur Durchführung des Gesetzes zur Ausführung des Tiergesundheitsgesetzes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Zur Feststellung des Krankheitszustandes veranlasst der Amtstierarzt unmittelbar nach der Anzeige gemäß § 4 des Tiergesundheitsgesetzes die notwendigen Untersuchungen, die in den Tierseuchenverordnungen, den Falldefinitionen des Friedrich-Loeffler-Instituts und der amtlichen Methodensammlung vorgesehen sind.</w:t>
      </w:r>
    </w:p>
    <w:p>
      <w:r>
        <w:t xml:space="preserve">(2) Abweichend von § 12 Absatz 1 Satz 2 des Gesetzes zur Ausführung des Tiergesundheitsgesetzes ist eine Untersuchung vor dem Tod des Tieres als ausreichend anzusehen, wenn die Krankheit auf der Grundlage labordiag-nostischer Untersuchungen im Landeslabor Berlin-Brandenburg, gegebenenfalls in Verbindung mit klinischen oder allergologischen Untersuchungen, festgestellt worden ist.</w:t>
      </w:r>
    </w:p>
    <w:p>
      <w:r>
        <w:t xml:space="preserve">(3) Abweichend von § 12 Absatz 1 Satz 2 des Gesetzes zur Ausführung des Tiergesundheitsgesetzes kann der Amtstierarzt die Untersuchung auf einzelne Tiere beschränken oder auf die Untersuchung verzichten, soweit andere tierseuchenrechtliche Vorschriften dem nicht entgegenstehen.</w:t>
      </w:r>
    </w:p>
    <w:p>
      <w:r>
        <w:rPr>
          <w:color w:val="555555"/>
          <w:sz w:val="17"/>
        </w:rPr>
        <w:t xml:space="preserve">Zitiervorschlag: § 4 AGTierGesGDV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https://recht.nulegal.eu/gesetze/AGTierGesGDV/4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