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AGTierGesG (Brandenburg) — Tierseuchenverordnung, Tierseuchenverfügung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Anordnungen sind, sofern sie verbindliche Kraft für eine unbestimmte Zahl von Personen haben sollen, als ordnungsbehördliche Verordnungen unter der Bezeichnung "Tierseuchenverordnung" im Bundesanzeiger zu verkünden.</w:t>
      </w:r>
    </w:p>
    <w:p>
      <w:r>
        <w:t xml:space="preserve">(2) In Tierseuchenverordnungen kann auch auf andere Verordnungen des Tierseuchenrechts verwiesen werden. Insoweit findet § 28 Abs. 2 Satz 1 des Ordnungsbehördengesetzes keine Anwendung.</w:t>
      </w:r>
    </w:p>
    <w:p>
      <w:r>
        <w:t xml:space="preserve">(3) Auf Tierseuchenverordnungen des für die Tierseuchenbekämpfung zuständigen Mitglieds der Landesregierung finden § 25 und § 32 Abs. 1 des Ordnungsbehördengesetzes keine Anwendung.</w:t>
      </w:r>
    </w:p>
    <w:p>
      <w:r>
        <w:t xml:space="preserve">(4) Tierseuchenverordnungen der Kreisordnungsbehörden sind in einer durch Satzung zu bestimmenden Tageszeitung zu verkünden.</w:t>
      </w:r>
    </w:p>
    <w:p>
      <w:r>
        <w:t xml:space="preserve">(5) In Gemeinden bis zu 5 000 Einwohnern tritt an die Stelle einer Verkündung in einer Tageszeitung die ortsübliche Bekanntmachung nach den für Satzungen geltenden Vorschriften.</w:t>
      </w:r>
    </w:p>
    <w:p>
      <w:r>
        <w:t xml:space="preserve">(6) Das für die Tierseuchenbekämpfung zuständige Mitglied der Landesregierung kann Tierseuchenverordnungen der nachgeordneten oder seiner Aufsicht unterstehenden Behörden außer Kraft setzen.</w:t>
      </w:r>
    </w:p>
    <w:p>
      <w:r>
        <w:t xml:space="preserve">(7) Eine schriftliche Einzelanordnung (Verfügung) muß als "Tierseuchenverfügung" bezeichnet werden.</w:t>
      </w:r>
    </w:p>
    <w:p>
      <w:r>
        <w:t xml:space="preserve">(8) Eine schriftliche Anordnung, die sich an eine unbestimmte Zahl Rechtsunterworfener richtet (Allgemeinverfügung), muss als 'Tierseuchenallgemeinverfügung' bezeichnet werden.</w:t>
      </w:r>
    </w:p>
    <w:p>
      <w:r>
        <w:rPr>
          <w:color w:val="555555"/>
          <w:sz w:val="17"/>
        </w:rPr>
        <w:t xml:space="preserve">Zitiervorschlag: § 5 AGTierGesG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