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AGTierGesG (Brandenburg) — Beteiligte als Kostenträger</w:t>
      </w:r>
    </w:p>
    <w:p>
      <w:r>
        <w:rPr>
          <w:color w:val="555555"/>
          <w:sz w:val="18"/>
        </w:rPr>
        <w:t xml:space="preserve">Gesetz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Unbeschadet etwaiger privatrechtlicher Ersatzansprüche fallen alle in den §§ 19 bis 21 nicht erwähnten Kosten, die bei der Durchführung der Bekämpfungsmaßnahmen erwachsen, den Beteiligten zur Last. Als Beteiligte sind anzusehen</w:t>
      </w:r>
    </w:p>
    <w:p>
      <w:r>
        <w:t xml:space="preserve">Eigentümer, Tierhalter oder Begleiter der von den Maßregeln betroffenen Tiere,</w:t>
      </w:r>
    </w:p>
    <w:p>
      <w:r>
        <w:t xml:space="preserve">Unternehmer der betroffenen Betriebe oder Veranstaltungen,</w:t>
      </w:r>
    </w:p>
    <w:p>
      <w:r>
        <w:t xml:space="preserve">Eigentümer oder Inhaber der betroffenen Örtlichkeiten, Räume oder Gegenstände.</w:t>
      </w:r>
    </w:p>
    <w:p>
      <w:r>
        <w:t xml:space="preserve">Mehrere Beteiligte haften als Gesamtschuldner.</w:t>
      </w:r>
    </w:p>
    <w:p>
      <w:r>
        <w:t xml:space="preserve">(2) In den Fällen des § 18 Satz 2 fallen die Kosten der Feststellung des Krankheitszustandes und der Schätzung dem Antragsteller zur Last, wenn ein Entschädigungsfall nicht vorliegt.</w:t>
      </w:r>
    </w:p>
    <w:p>
      <w:r>
        <w:rPr>
          <w:color w:val="555555"/>
          <w:sz w:val="17"/>
        </w:rPr>
        <w:t xml:space="preserve">Zitiervorschlag: § 22 AGTierGesG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