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AGTierGesG (Brandenburg) — Niederschrift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Über das Ergebnis der Schätzung ist eine Niederschrift zu fertigen, die von denjenigen, die die Schätzung vorgenommen haben, zu unterzeichnen ist.</w:t>
      </w:r>
    </w:p>
    <w:p>
      <w:r>
        <w:t xml:space="preserve">(2) Im übrigen kann das für die Tierseuchenbekämpfung zuständige Mitglied der Landesregierung das Verfahren bei der Schätzung durch Rechtsverordnung regeln.</w:t>
      </w:r>
    </w:p>
    <w:p>
      <w:r>
        <w:rPr>
          <w:color w:val="555555"/>
          <w:sz w:val="17"/>
        </w:rPr>
        <w:t xml:space="preserve">Zitiervorschlag: § 16 AGTierGesG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