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AGStVRundfGeb (Bayern)</w:t>
      </w:r>
    </w:p>
    <w:p>
      <w:r>
        <w:rPr>
          <w:color w:val="555555"/>
          <w:sz w:val="18"/>
        </w:rPr>
        <w:t xml:space="preserve">Ausführungsgesetz Rundfunkgebühren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1 Rückständige Rundfunkgebühren, die bis zum Ablauf des 31. Dezember 2012 entstanden sind, werden im Verwaltungszwangsverfahren nach den Vorschriften des Bayerischen Verwaltungszustellungs- und Vollstreckungsgesetzes in der jeweils geltenden Fassung beigetrieben. 2 Der Bayerische Rundfunk ist befugt, für die Vollstreckung von Rundfunkgebührenforderungen Vollstreckungsanordnung zu erteilen und zu diesem Zweck die Vollstreckungsklausel auf eine Ausfertigung des Leistungsbescheids oder eines Ausstandsverzeichnisses zu setzen. 3 Bei einer Vollstreckungsanordnung, die mit Hilfe automatischer Einrichtungen erlassen wird, können Unterschrift und Dienstsiegel fehlen.</w:t>
      </w:r>
    </w:p>
    <w:p>
      <w:r>
        <w:rPr>
          <w:color w:val="555555"/>
          <w:sz w:val="17"/>
        </w:rPr>
        <w:t xml:space="preserve">Zitiervorschlag: Eingangsformel AGStVRundfGeb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https://recht.nulegal.eu/gesetze/AGStVRundfGeb/eingangsformel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