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AGStVRundfGeb (Bayern) — (Zu Art. 9)</w:t>
      </w:r>
    </w:p>
    <w:p>
      <w:r>
        <w:rPr>
          <w:color w:val="555555"/>
          <w:sz w:val="18"/>
        </w:rPr>
        <w:t xml:space="preserve">Ausführungsgesetz Rundfunkgebühren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Sachlich zuständig zur Verfolgung der Ordnungswidrigkeiten gemäß Art. 9 des Rundfunkgebührenstaatsvertrags, die bis zum Ablauf des 31. Dezember 2012 begangen wurden, sind die Kreisverwaltungsbehörden.</w:t>
      </w:r>
    </w:p>
    <w:p>
      <w:r>
        <w:t xml:space="preserve">[Amtl. Anm.:] BayRS 2251-3-1-S</w:t>
      </w:r>
    </w:p>
    <w:p>
      <w:r>
        <w:rPr>
          <w:color w:val="555555"/>
          <w:sz w:val="17"/>
        </w:rPr>
        <w:t xml:space="preserve">Zitiervorschlag: Art 2 AGStVRundfGeb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https://recht.nulegal.eu/gesetze/AGStVRundfGeb/2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