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AGSGG (Bayern) — Inkrafttreten</w:t>
      </w:r>
    </w:p>
    <w:p>
      <w:r>
        <w:rPr>
          <w:color w:val="555555"/>
          <w:sz w:val="18"/>
        </w:rPr>
        <w:t xml:space="preserve">Bayerisches Sozialgerichts-Ausführungsgesetz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ist dringlich. Es tritt am 1. Januar 1954 in Kraft.</w:t>
      </w:r>
    </w:p>
    <w:p>
      <w:r>
        <w:t xml:space="preserve">[Amtl. Anm.:] Betrifft die ursprüngliche Fassung vom 21. Dezember 1953 (Nr. 27 des Gesetz- und Verordnungsblattes vom 23. Dezember 1953, S. 195).</w:t>
      </w:r>
    </w:p>
    <w:p>
      <w:r>
        <w:rPr>
          <w:color w:val="555555"/>
          <w:sz w:val="17"/>
        </w:rPr>
        <w:t xml:space="preserve">Zitiervorschlag: Art 4 AGSGG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https://recht.nulegal.eu/gesetze/AGSGG/4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