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AGSGG (Bayern) — Landessozialgericht</w:t>
      </w:r>
    </w:p>
    <w:p>
      <w:r>
        <w:rPr>
          <w:color w:val="555555"/>
          <w:sz w:val="18"/>
        </w:rPr>
        <w:t xml:space="preserve">Bayerisches Sozialgerichts-Ausführungsgesetz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den Freistaat Bayern wird ein Landessozialgericht mit Sitz in München errichtet; es führt die Bezeichnung „Bayerisches Landessozialgericht“. In Schweinfurt besteht eine Zweigstelle mit sieben Senaten.</w:t>
      </w:r>
    </w:p>
    <w:p>
      <w:r>
        <w:rPr>
          <w:color w:val="555555"/>
          <w:sz w:val="17"/>
        </w:rPr>
        <w:t xml:space="preserve">Zitiervorschlag: Art 2 AGSGG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https://recht.nulegal.eu/gesetze/AGSGG/2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