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AGSGG (Bayern) — Sozialgerichte</w:t>
      </w:r>
    </w:p>
    <w:p>
      <w:r>
        <w:rPr>
          <w:color w:val="555555"/>
          <w:sz w:val="18"/>
        </w:rPr>
        <w:t xml:space="preserve">Bayerisches Sozialgerichts-Ausführungsgesetz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Sozialgerichte werden errichtet mit Sitz</w:t>
      </w:r>
    </w:p>
    <w:p>
      <w:r>
        <w:t xml:space="preserve">1. in München für den Regierungsbezirk Oberbayern,</w:t>
      </w:r>
    </w:p>
    <w:p>
      <w:r>
        <w:t xml:space="preserve">2. in Landshut für den Regierungsbezirk Niederbayern,</w:t>
      </w:r>
    </w:p>
    <w:p>
      <w:r>
        <w:t xml:space="preserve">3. in Regensburg für den Regierungsbezirk Oberpfalz,</w:t>
      </w:r>
    </w:p>
    <w:p>
      <w:r>
        <w:t xml:space="preserve">4. in Nürnberg für den Regierungsbezirk Mittelfranken,</w:t>
      </w:r>
    </w:p>
    <w:p>
      <w:r>
        <w:t xml:space="preserve">5. in Bayreuth für den Regierungsbezirk Oberfranken,</w:t>
      </w:r>
    </w:p>
    <w:p>
      <w:r>
        <w:t xml:space="preserve">6. in Würzburg für den Regierungsbezirk Unterfranken,</w:t>
      </w:r>
    </w:p>
    <w:p>
      <w:r>
        <w:t xml:space="preserve">7. in Augsburg für den Regierungsbezirk Schwaben.</w:t>
      </w:r>
    </w:p>
    <w:p>
      <w:r>
        <w:t xml:space="preserve">Die Sozialgerichte werden nach ihrem Sitz benannt.</w:t>
      </w:r>
    </w:p>
    <w:p>
      <w:r>
        <w:t xml:space="preserve">(2) Die Kammern für Angelegenheiten des Vertragsarztrechts beim Sozialgericht München sind auch zuständig für Niederbayern, die Oberpfalz und Schwaben, diejenigen beim Sozialgericht Nürnberg auch für Ober- und Unterfranken.</w:t>
      </w:r>
    </w:p>
    <w:p>
      <w:r>
        <w:rPr>
          <w:color w:val="555555"/>
          <w:sz w:val="17"/>
        </w:rPr>
        <w:t xml:space="preserve">Zitiervorschlag: Art 1 AGSGG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https://recht.nulegal.eu/gesetze/AGSGG/1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