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99 AGSG (Bayern) — Soziales Entschädigungsrecht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den Vollzug des Vierzehnten Buches Sozialgesetzbuch (SGB XIV) ist das Zentrum Bayern Familie und Soziales sachlich und örtlich zuständig. Abweichend von Satz 1 bleiben für die Durchführung des Kapitels 23 SGB XIV – Vorschriften zu Besitzständen – die Träger zuständig, die gemäß den Art. 99 und 100 Abs. 2 in der am 31. Dezember 2023 geltenden Fassung sachlich zuständig waren. Satz 2 findet keine Anwendung, soweit der oder die Berechtigte gemäß § 152 Abs. 1 Satz 1 SGB XIV die Erbringung von Leistungen nach den Kapiteln 1 bis 22 mit Ausnahme der §§ 84 und 86 SGB XIV gewählt hat. Für die Kosten der Kriegsopferfürsorge, die in Wahrnehmung der Zuständigkeit nach Satz 2 entstehen, ist Art. 106 in der am 31. Dezember 2023 geltenden Fassung entsprechend anzuwenden.</w:t>
      </w:r>
    </w:p>
    <w:p>
      <w:r>
        <w:rPr>
          <w:color w:val="555555"/>
          <w:sz w:val="17"/>
        </w:rPr>
        <w:t xml:space="preserve">Zitiervorschlag: Art 99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https://recht.nulegal.eu/gesetze/AGSG/99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