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88 AGSG (Bayern) — Leistungsbescheid über Kostenbeitrag, Aufwendungs- und Kostenersatz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einem Leistungsbescheid im Sinn des Art. 23 des Bayerischen Verwaltungszustellungs- und Vollstreckungsgesetzes, in dem regelmäßig wiederkehrende Leistungen als Kostenbeitrag, Aufwendungs- oder Kostenersatz gefordert werden, kann zugleich mit der Pfändung wegen fälliger Ansprüche auch künftig fällig werdendes Arbeitseinkommen wegen der dann jeweils fällig werdenden Ansprüche gepfändet und überwiesen werden.</w:t>
      </w:r>
    </w:p>
    <w:p>
      <w:r>
        <w:rPr>
          <w:color w:val="555555"/>
          <w:sz w:val="17"/>
        </w:rPr>
        <w:t xml:space="preserve">Zitiervorschlag: Art 88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https://recht.nulegal.eu/gesetze/AGSG/88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