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85 AGSG (Bayern) — Einrichtungen und Dienste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Verpflichtungen nach § 17 Abs. 1 Nr. 2 SGB I und § 75 Abs. 2 SGB XII obliegen</w:t>
      </w:r>
    </w:p>
    <w:p>
      <w:r>
        <w:t xml:space="preserve">1. für Einrichtungen oder Dienste der Altenhilfe den örtlichen Trägern der Sozialhilfe,</w:t>
      </w:r>
    </w:p>
    <w:p>
      <w:r>
        <w:t xml:space="preserve">2. im Übrigen dem Träger der Sozialhilfe, der für die Hilfe sachlich zuständig ist.</w:t>
      </w:r>
    </w:p>
    <w:p>
      <w:r>
        <w:t xml:space="preserve">(2) Bevor Einrichtungen oder Dienste geschaffen werden, die Rahmenverträgen im Sinn von § 80 SGB XII unterliegen und in denen Leistungen nach dem SGB XII erbracht werden sollen, ist dem jeweiligen Bezirk rechtzeitig Gelegenheit zur gutachterlichen Äußerung zu geben.</w:t>
      </w:r>
    </w:p>
    <w:p>
      <w:r>
        <w:rPr>
          <w:color w:val="555555"/>
          <w:sz w:val="17"/>
        </w:rPr>
        <w:t xml:space="preserve">Zitiervorschlag: Art 85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https://recht.nulegal.eu/gesetze/AGSG/85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