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79 AGSG (Bayern) — Ausführungsvorschriften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Staatsregierung wird ermächtigt, durch Rechtsverordnung zu regeln:</w:t>
      </w:r>
    </w:p>
    <w:p>
      <w:r>
        <w:t xml:space="preserve">1. die Zusammensetzung, die Höhe sowie die Bedingungen und die Voraussetzungen der Förderung von Investitionen für Pflegeeinrichtungen,</w:t>
      </w:r>
    </w:p>
    <w:p>
      <w:r>
        <w:t xml:space="preserve">2. das Nähere zur gesonderten Berechnung nicht gedeckter betriebsnotwendiger Aufwendungen im Sinn des § 82 Abs. 2 Nr. 1 und 3 SGB XI, insbesondere zu Art, Höhe und Laufzeit sowie die Verteilung der gesondert berechenbaren Aufwendungen auf die Pflegebedürftigen,</w:t>
      </w:r>
    </w:p>
    <w:p>
      <w:r>
        <w:t xml:space="preserve">3. das Nähere zur Bildung und zur Arbeit des sektorenübergreifenden Landespflegeausschusses nach Art. 77a Abs. 1 und der Pflegekonferenzen nach Art. 77a Abs. 2.</w:t>
      </w:r>
    </w:p>
    <w:p>
      <w:r>
        <w:rPr>
          <w:color w:val="555555"/>
          <w:sz w:val="17"/>
        </w:rPr>
        <w:t xml:space="preserve">Zitiervorschlag: Art 79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https://recht.nulegal.eu/gesetze/AGSG/79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