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69 AGSG (Bayern) — Bedarfsermittlung</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nach den Art. 71, 72 und 73 zuständigen Aufgabenträger stellen im Benehmen mit den Gemeinden, den örtlichen und regionalen Arbeitsgemeinschaften der Pflegekassen, den überörtlichen Trägern der Sozialhilfe und den Trägern der Pflegeeinrichtungen den für ihren Bereich erforderlichen längerfristigen Bedarf an Pflegeeinrichtungen fest.</w:t>
      </w:r>
    </w:p>
    <w:p>
      <w:r>
        <w:t xml:space="preserve">(2) Die Bedarfsermittlung ist Bestandteil eines integrativen, regionalen seniorenpolitischen Gesamtkonzeptes, das nach dem Grundsatz ‚ambulant vor stationär‘ die Lebenswelt älterer Menschen mit den notwendigen Versorgungsstrukturen sowie neue Wohn- und Pflegeformen für ältere und pflegebedürftige Menschen im ambulanten Bereich umfasst.</w:t>
      </w:r>
    </w:p>
    <w:p>
      <w:r>
        <w:rPr>
          <w:color w:val="555555"/>
          <w:sz w:val="17"/>
        </w:rPr>
        <w:t xml:space="preserve">Zitiervorschlag: Art 69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https://recht.nulegal.eu/gesetze/AGSG/69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